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08667FD0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75A92C78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Laboratórne vyšetrovacie metódy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Technology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1D8781B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A551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7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63537606" w:rsidR="00500888" w:rsidRPr="00233BF3" w:rsidRDefault="0050088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4E78D076" w:rsidR="001655DD" w:rsidRPr="00E31F09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79F078" w14:textId="77777777" w:rsidR="00CC59BB" w:rsidRDefault="00CC59B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1EBB6823" w14:textId="180AF540" w:rsidR="00CC59BB" w:rsidRPr="00E31F09" w:rsidRDefault="00CC59B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https://</w:t>
            </w:r>
            <w:r w:rsidRPr="00CC59B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www.amazon.de/Praktische-Medizinischen-Versorgungszentrums-integrierter-Public-Health-Perspektive/dp/3668431434/</w:t>
            </w: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225EA" w14:textId="77777777" w:rsidR="00500888" w:rsidRPr="00321B90" w:rsidRDefault="00500888" w:rsidP="00B5368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i/>
                <w:color w:val="333333"/>
                <w:sz w:val="16"/>
                <w:szCs w:val="16"/>
                <w:lang w:eastAsia="sk-SK"/>
              </w:rPr>
            </w:pPr>
          </w:p>
          <w:p w14:paraId="6C5AB4B6" w14:textId="77777777" w:rsidR="005B6F70" w:rsidRPr="005B6F70" w:rsidRDefault="005B6F70" w:rsidP="005B6F70">
            <w:pPr>
              <w:pStyle w:val="Formatvorlage1"/>
              <w:spacing w:line="240" w:lineRule="auto"/>
              <w:ind w:left="567" w:hanging="567"/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</w:pP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Praktische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Ratschläge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für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die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Gründung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eines</w:t>
            </w:r>
            <w:proofErr w:type="spellEnd"/>
          </w:p>
          <w:p w14:paraId="0CBFA116" w14:textId="77777777" w:rsidR="005B6F70" w:rsidRPr="005B6F70" w:rsidRDefault="005B6F70" w:rsidP="005B6F70">
            <w:pPr>
              <w:pStyle w:val="Formatvorlage1"/>
              <w:spacing w:line="240" w:lineRule="auto"/>
              <w:ind w:left="567" w:hanging="567"/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</w:pP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Medizinischen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Versorgungszentrums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(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MVZs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)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mit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integrierter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Public-Health</w:t>
            </w:r>
            <w:proofErr w:type="spellEnd"/>
          </w:p>
          <w:p w14:paraId="7E582966" w14:textId="77777777" w:rsidR="005B6F70" w:rsidRPr="005B6F70" w:rsidRDefault="005B6F70" w:rsidP="005B6F70">
            <w:pPr>
              <w:pStyle w:val="Formatvorlage1"/>
              <w:spacing w:line="240" w:lineRule="auto"/>
              <w:ind w:left="567" w:hanging="567"/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</w:pP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Perspektive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[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suggestions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founding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centre (MCC)</w:t>
            </w:r>
          </w:p>
          <w:p w14:paraId="52D46C93" w14:textId="77777777" w:rsidR="005B6F70" w:rsidRDefault="005B6F70" w:rsidP="005B6F70">
            <w:pPr>
              <w:pStyle w:val="Formatvorlage1"/>
              <w:spacing w:line="240" w:lineRule="auto"/>
              <w:ind w:left="567" w:hanging="567"/>
              <w:rPr>
                <w:rFonts w:ascii="Calibri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integrated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public-health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perspectives</w:t>
            </w:r>
            <w:proofErr w:type="spellEnd"/>
            <w:r w:rsidRPr="005B6F7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]</w:t>
            </w:r>
            <w:r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r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>[textový dokument (</w:t>
            </w:r>
            <w:proofErr w:type="spellStart"/>
            <w:r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>print</w:t>
            </w:r>
            <w:proofErr w:type="spellEnd"/>
            <w:r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)] </w:t>
            </w:r>
            <w:r>
              <w:rPr>
                <w:rFonts w:ascii="Calibri" w:hAnsi="Calibri" w:cs="Calibri"/>
                <w:color w:val="2E74B5" w:themeColor="accent5" w:themeShade="BF"/>
                <w:sz w:val="16"/>
                <w:szCs w:val="16"/>
                <w:lang w:eastAsia="sk-SK"/>
              </w:rPr>
              <w:t>:</w:t>
            </w:r>
          </w:p>
          <w:p w14:paraId="2C52783B" w14:textId="017F36DC" w:rsidR="005B6F70" w:rsidRPr="005B6F70" w:rsidRDefault="00561140" w:rsidP="005B6F70">
            <w:pPr>
              <w:pStyle w:val="Formatvorlage1"/>
              <w:spacing w:line="240" w:lineRule="auto"/>
              <w:ind w:left="567" w:hanging="567"/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</w:pPr>
            <w:r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>Renger, Fabian [Autor, 5</w:t>
            </w:r>
            <w:r w:rsidR="009B20AC"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>0</w:t>
            </w:r>
            <w:r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>%</w:t>
            </w:r>
            <w:proofErr w:type="gramStart"/>
            <w:r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>] ;</w:t>
            </w:r>
            <w:proofErr w:type="gramEnd"/>
            <w:r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>Czirfusz</w:t>
            </w:r>
            <w:proofErr w:type="spellEnd"/>
            <w:r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>, Attila [Autor, 50</w:t>
            </w:r>
            <w:r w:rsidR="009B20AC"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>%].</w:t>
            </w:r>
            <w:r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r w:rsidR="009B20AC" w:rsidRP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 xml:space="preserve"> –</w:t>
            </w:r>
            <w:r w:rsidR="005B6F70">
              <w:rPr>
                <w:rFonts w:ascii="Calibri" w:hAnsi="Calibri" w:cs="Calibri"/>
                <w:b w:val="0"/>
                <w:color w:val="2E74B5" w:themeColor="accent5" w:themeShade="BF"/>
                <w:sz w:val="16"/>
                <w:szCs w:val="16"/>
                <w:lang w:eastAsia="sk-SK"/>
              </w:rPr>
              <w:t xml:space="preserve"> Norderstedt</w:t>
            </w:r>
          </w:p>
          <w:p w14:paraId="78647026" w14:textId="77777777" w:rsidR="00CC59BB" w:rsidRPr="00CC59BB" w:rsidRDefault="00321B90" w:rsidP="00321B9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lang w:val="en-GB"/>
              </w:rPr>
            </w:pPr>
            <w:r w:rsidRPr="00CC59B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(Nemecko) : </w:t>
            </w:r>
            <w:proofErr w:type="spellStart"/>
            <w:r w:rsidR="005B6F70" w:rsidRPr="00CC59BB">
              <w:rPr>
                <w:rFonts w:ascii="Calibri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Grin</w:t>
            </w:r>
            <w:proofErr w:type="spellEnd"/>
            <w:r w:rsidR="005B6F70" w:rsidRPr="00CC59BB">
              <w:rPr>
                <w:rFonts w:ascii="Calibri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B6F70" w:rsidRPr="00CC59BB">
              <w:rPr>
                <w:rFonts w:ascii="Calibri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Verlag</w:t>
            </w:r>
            <w:proofErr w:type="spellEnd"/>
            <w:r w:rsidR="00CC59BB" w:rsidRPr="00CC59BB">
              <w:rPr>
                <w:rFonts w:ascii="Calibri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2017. – 105 p</w:t>
            </w:r>
            <w:r w:rsidR="005B6F70" w:rsidRPr="00CC59BB">
              <w:rPr>
                <w:rFonts w:ascii="Calibri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– </w:t>
            </w:r>
            <w:r w:rsidR="00CC59BB" w:rsidRPr="00CC59BB">
              <w:rPr>
                <w:rFonts w:ascii="Calibri" w:eastAsia="Times New Roman" w:hAnsi="Calibri" w:cs="Calibri"/>
                <w:bCs/>
                <w:color w:val="2E74B5" w:themeColor="accent5" w:themeShade="BF"/>
                <w:sz w:val="16"/>
                <w:szCs w:val="16"/>
                <w:lang w:val="de-DE" w:eastAsia="sk-SK"/>
              </w:rPr>
              <w:t>ISBN 978-3-668-43143-0</w:t>
            </w:r>
          </w:p>
          <w:p w14:paraId="4435947D" w14:textId="402F5485" w:rsidR="00321B90" w:rsidRPr="00321B90" w:rsidRDefault="00321B90" w:rsidP="00321B9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321B90">
              <w:rPr>
                <w:rFonts w:ascii="Calibri" w:eastAsia="Times New Roman" w:hAnsi="Calibri" w:cs="Calibri"/>
                <w:b/>
                <w:color w:val="2E74B5" w:themeColor="accent5" w:themeShade="BF"/>
                <w:sz w:val="16"/>
                <w:szCs w:val="16"/>
                <w:lang w:eastAsia="sk-SK"/>
              </w:rPr>
              <w:t xml:space="preserve">Počet všetkých autorov: 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2</w:t>
            </w:r>
          </w:p>
          <w:p w14:paraId="359CE336" w14:textId="329A8B81" w:rsidR="00084FD3" w:rsidRPr="00E31F09" w:rsidRDefault="00084FD3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6AD85746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17EFBB2F" w:rsidR="00500888" w:rsidRPr="00714638" w:rsidRDefault="00714638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C59BB">
              <w:rPr>
                <w:rFonts w:ascii="Calibri" w:eastAsia="Times New Roman" w:hAnsi="Calibri" w:cs="Calibri"/>
                <w:bCs/>
                <w:color w:val="2E74B5" w:themeColor="accent5" w:themeShade="BF"/>
                <w:sz w:val="16"/>
                <w:szCs w:val="16"/>
                <w:lang w:val="de-DE" w:eastAsia="sk-SK"/>
              </w:rPr>
              <w:t>A</w:t>
            </w:r>
            <w:r w:rsidR="00CC59BB" w:rsidRPr="00CC59BB">
              <w:rPr>
                <w:rFonts w:ascii="Calibri" w:eastAsia="Times New Roman" w:hAnsi="Calibri" w:cs="Calibri"/>
                <w:bCs/>
                <w:color w:val="2E74B5" w:themeColor="accent5" w:themeShade="BF"/>
                <w:sz w:val="16"/>
                <w:szCs w:val="16"/>
                <w:lang w:val="de-DE" w:eastAsia="sk-SK"/>
              </w:rPr>
              <w:t>AA</w:t>
            </w:r>
            <w:r w:rsidRPr="00CC59BB">
              <w:rPr>
                <w:rFonts w:ascii="Calibri" w:eastAsia="Times New Roman" w:hAnsi="Calibri" w:cs="Calibri"/>
                <w:bCs/>
                <w:color w:val="2E74B5" w:themeColor="accent5" w:themeShade="BF"/>
                <w:sz w:val="16"/>
                <w:szCs w:val="16"/>
                <w:lang w:val="de-DE"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4BC793FC" w:rsidR="00500888" w:rsidRPr="00E31F09" w:rsidRDefault="00536537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https://</w:t>
            </w:r>
            <w:r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www.grin.com/document/358680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1D5B6C3" w:rsidR="00500888" w:rsidRDefault="0046382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</w:t>
            </w:r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21B9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50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%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21B9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50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519B5" w14:textId="21BEBC33" w:rsidR="00CF1184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34101DD2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B7AB89E" w14:textId="2F2DA5D5" w:rsidR="00536537" w:rsidRPr="00536537" w:rsidRDefault="00714638" w:rsidP="00536537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</w:pPr>
            <w:r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/</w:t>
            </w:r>
            <w:r w:rsidRPr="00536537">
              <w:rPr>
                <w:rFonts w:ascii="Calibri" w:eastAsia="Times New Roman" w:hAnsi="Calibri" w:cs="Calibri"/>
                <w:color w:val="385623" w:themeColor="accent6" w:themeShade="80"/>
                <w:sz w:val="16"/>
                <w:szCs w:val="16"/>
                <w:lang w:eastAsia="sk-SK"/>
              </w:rPr>
              <w:t xml:space="preserve"> </w:t>
            </w:r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In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recent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years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dealing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with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the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processes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clinics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practices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centers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has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been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focus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Organizational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working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conditions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also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great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importance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here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The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use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integrated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management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systems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has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only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marginally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affected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developments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the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field</w:t>
            </w:r>
            <w:proofErr w:type="spellEnd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536537" w:rsidRPr="00536537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Germany</w:t>
            </w:r>
            <w:proofErr w:type="spellEnd"/>
            <w:r w:rsidR="00536537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.</w:t>
            </w:r>
          </w:p>
          <w:p w14:paraId="4935B3B1" w14:textId="345EFF73" w:rsidR="00500888" w:rsidRPr="00536537" w:rsidRDefault="00500888" w:rsidP="00536537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</w:p>
          <w:p w14:paraId="5334AAFC" w14:textId="7BC01AF7" w:rsidR="00C5696A" w:rsidRDefault="00C5696A" w:rsidP="00321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0661115D" w:rsidR="00500888" w:rsidRDefault="00A551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C998F5" w14:textId="336BA75A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1A871C6" w14:textId="77777777" w:rsidR="000A41A1" w:rsidRDefault="000A41A1" w:rsidP="00CF1184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</w:p>
          <w:p w14:paraId="255DE05A" w14:textId="1ED3DD63" w:rsidR="00500888" w:rsidRDefault="00536537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specialist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book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summarizes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entities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under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focus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business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administrative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questions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</w:t>
            </w:r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Practical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advices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given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at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end of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every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chapter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book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written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physicians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who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come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into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contact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with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matter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</w:t>
            </w:r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cal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centre (mcc) and </w:t>
            </w:r>
            <w:proofErr w:type="spellStart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other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people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which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interested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building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up</w:t>
            </w:r>
            <w:proofErr w:type="spellEnd"/>
            <w:r w:rsid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 mcc.</w:t>
            </w:r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focus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is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determined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very</w:t>
            </w:r>
            <w:proofErr w:type="spellEnd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clearly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="00714638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Pr="0028612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significant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citations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corresponding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output </w:t>
            </w:r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br/>
              <w:t xml:space="preserve">Rozsah do 200 slov /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Range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up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AE85A6" w14:textId="10961B6E" w:rsidR="0028612E" w:rsidRPr="0028612E" w:rsidRDefault="0028612E" w:rsidP="0028612E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bookmarkStart w:id="1" w:name="_Hlk74596337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[o1] 2020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Kónyová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Z.,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M.: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143-163. </w:t>
            </w:r>
            <w:bookmarkStart w:id="2" w:name="_Hlk74596156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In:  Mrázová, M.,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F.,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A. (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Eds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.):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Global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Challenges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I., Hamburg: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Verlag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Dr.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Kovac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2020, 163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ISSN 2194-3753, ISBN 978-3-339-11960-5,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eISBN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978-3-339-11961-2 – SCOPUS</w:t>
            </w:r>
            <w:bookmarkEnd w:id="1"/>
            <w:bookmarkEnd w:id="2"/>
          </w:p>
          <w:p w14:paraId="504A0F44" w14:textId="77777777" w:rsidR="0028612E" w:rsidRPr="0028612E" w:rsidRDefault="0028612E" w:rsidP="0028612E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[o3] 2021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M.,: International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New Technologies and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Social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Work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Bratislava,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64-71,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Content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No.2, Vol.16, ISSN: 1336-9326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print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eISSN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: 2644-5433 - CEEOL, BMS,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CiBaMed</w:t>
            </w:r>
            <w:proofErr w:type="spellEnd"/>
          </w:p>
          <w:p w14:paraId="44ED5DE9" w14:textId="3066C2D4" w:rsidR="0028612E" w:rsidRPr="0028612E" w:rsidRDefault="0028612E" w:rsidP="0028612E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[o1] 2021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A.,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M.: pp.1-10.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Advertising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Investment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Germany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In: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Nursing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&amp;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Midwifery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(JNMR), status: in press, International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Open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Access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: https://manuscriptscientific.com/articles/22/journal-of-nursing-midwifery-research/1/Press - </w:t>
            </w:r>
            <w:proofErr w:type="spellStart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PubMed</w:t>
            </w:r>
            <w:proofErr w:type="spellEnd"/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</w:p>
          <w:p w14:paraId="6C144D4A" w14:textId="455F4D2A" w:rsidR="000A41A1" w:rsidRDefault="0028612E" w:rsidP="000A41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Citations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foreign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publications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cited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databases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WOS,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Scopus</w:t>
            </w:r>
            <w:proofErr w:type="spellEnd"/>
          </w:p>
          <w:p w14:paraId="2B7004CE" w14:textId="07D5CEAF" w:rsidR="000A41A1" w:rsidRPr="0028612E" w:rsidRDefault="0028612E" w:rsidP="000A41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28612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Citations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foreign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publications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not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cited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databases</w:t>
            </w:r>
            <w:proofErr w:type="spellEnd"/>
          </w:p>
          <w:p w14:paraId="7C7E3D87" w14:textId="7E2B2C5D" w:rsidR="00500888" w:rsidRPr="0028612E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900DC" w14:textId="0D4FEB5A" w:rsidR="00714638" w:rsidRDefault="007146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  <w:p w14:paraId="0262E815" w14:textId="77777777" w:rsidR="009A1EBB" w:rsidRPr="00FE109E" w:rsidRDefault="009A1EBB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4215764C" w14:textId="45D93E5D" w:rsidR="00500888" w:rsidRPr="009C7963" w:rsidRDefault="00714638" w:rsidP="006208F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The</w:t>
            </w:r>
            <w:proofErr w:type="spellEnd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specialist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book</w:t>
            </w:r>
            <w:proofErr w:type="spellEnd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focuses</w:t>
            </w:r>
            <w:proofErr w:type="spellEnd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centres</w:t>
            </w:r>
            <w:proofErr w:type="spellEnd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Public</w:t>
            </w:r>
            <w:proofErr w:type="spellEnd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as a new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legal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form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Germany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.</w:t>
            </w:r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Practical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advice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is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given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e.g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for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entrepreneurship</w:t>
            </w:r>
            <w:proofErr w:type="spellEnd"/>
            <w:r w:rsidR="006208F6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.</w:t>
            </w:r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6186E" w14:textId="4D9BEE96" w:rsidR="00166F0A" w:rsidRDefault="00166F0A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752DE44" w14:textId="77777777" w:rsidR="009A1EBB" w:rsidRDefault="009A1EBB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A244CA5" w14:textId="29D744AF" w:rsidR="008C7324" w:rsidRDefault="00166F0A" w:rsidP="006208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="008C73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This</w:t>
            </w:r>
            <w:proofErr w:type="spellEnd"/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book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offers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</w:t>
            </w:r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 </w:t>
            </w:r>
            <w:proofErr w:type="spellStart"/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practical</w:t>
            </w:r>
            <w:proofErr w:type="spellEnd"/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counselor</w:t>
            </w:r>
            <w:proofErr w:type="spellEnd"/>
            <w:r w:rsidR="006208F6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and a new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perspective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field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="00982033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46F249C3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panose1 w:val="02020603050405020304"/>
    <w:charset w:val="86"/>
    <w:family w:val="auto"/>
    <w:pitch w:val="default"/>
    <w:sig w:usb0="00000000" w:usb1="500078FF" w:usb2="00000021" w:usb3="00000000" w:csb0="600001BF" w:csb1="DFF7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8"/>
    <w:rsid w:val="00084FD3"/>
    <w:rsid w:val="000A41A1"/>
    <w:rsid w:val="001213B2"/>
    <w:rsid w:val="00131F27"/>
    <w:rsid w:val="001655DD"/>
    <w:rsid w:val="00166F0A"/>
    <w:rsid w:val="001D22E5"/>
    <w:rsid w:val="00233BF3"/>
    <w:rsid w:val="0028612E"/>
    <w:rsid w:val="00321B90"/>
    <w:rsid w:val="00463824"/>
    <w:rsid w:val="004E5266"/>
    <w:rsid w:val="00500888"/>
    <w:rsid w:val="00536537"/>
    <w:rsid w:val="00561140"/>
    <w:rsid w:val="005B6F70"/>
    <w:rsid w:val="006208F6"/>
    <w:rsid w:val="00714638"/>
    <w:rsid w:val="00773128"/>
    <w:rsid w:val="00811DC4"/>
    <w:rsid w:val="008C7324"/>
    <w:rsid w:val="00964E8F"/>
    <w:rsid w:val="00982033"/>
    <w:rsid w:val="009901ED"/>
    <w:rsid w:val="009A1EBB"/>
    <w:rsid w:val="009B20AC"/>
    <w:rsid w:val="009C4342"/>
    <w:rsid w:val="00A55184"/>
    <w:rsid w:val="00A553DE"/>
    <w:rsid w:val="00AF7D17"/>
    <w:rsid w:val="00B4359E"/>
    <w:rsid w:val="00B53689"/>
    <w:rsid w:val="00C5696A"/>
    <w:rsid w:val="00C87FB2"/>
    <w:rsid w:val="00CC59BB"/>
    <w:rsid w:val="00CF1184"/>
    <w:rsid w:val="00D33A7E"/>
    <w:rsid w:val="00E63454"/>
    <w:rsid w:val="00F5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  <w:style w:type="paragraph" w:customStyle="1" w:styleId="Formatvorlage1">
    <w:name w:val="Formatvorlage1"/>
    <w:basedOn w:val="Normlny"/>
    <w:uiPriority w:val="99"/>
    <w:rsid w:val="00F50B7A"/>
    <w:pPr>
      <w:spacing w:after="0" w:line="360" w:lineRule="auto"/>
      <w:jc w:val="both"/>
    </w:pPr>
    <w:rPr>
      <w:rFonts w:ascii="Courier New" w:eastAsia="Times New Roman" w:hAnsi="Courier New" w:cs="Courier New"/>
      <w:b/>
      <w:bCs/>
      <w:sz w:val="24"/>
      <w:szCs w:val="24"/>
      <w:lang w:val="de-DE"/>
    </w:rPr>
  </w:style>
  <w:style w:type="character" w:customStyle="1" w:styleId="y2iqfc">
    <w:name w:val="y2iqfc"/>
    <w:basedOn w:val="Predvolenpsmoodseku"/>
    <w:rsid w:val="00536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detail/27117?mode=full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1286</Words>
  <Characters>7334</Characters>
  <Application>Microsoft Office Word</Application>
  <DocSecurity>0</DocSecurity>
  <Lines>61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Iroda</cp:lastModifiedBy>
  <cp:revision>2</cp:revision>
  <dcterms:created xsi:type="dcterms:W3CDTF">2022-10-30T16:28:00Z</dcterms:created>
  <dcterms:modified xsi:type="dcterms:W3CDTF">2022-10-30T16:28:00Z</dcterms:modified>
</cp:coreProperties>
</file>